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361"/>
        <w:tblW w:w="21884" w:type="dxa"/>
        <w:tblLook w:val="04A0" w:firstRow="1" w:lastRow="0" w:firstColumn="1" w:lastColumn="0" w:noHBand="0" w:noVBand="1"/>
      </w:tblPr>
      <w:tblGrid>
        <w:gridCol w:w="21884"/>
      </w:tblGrid>
      <w:tr w:rsidR="00134B46" w:rsidRPr="000C511E" w14:paraId="77AF16C8" w14:textId="77777777" w:rsidTr="000D0B0A">
        <w:trPr>
          <w:trHeight w:val="416"/>
        </w:trPr>
        <w:tc>
          <w:tcPr>
            <w:tcW w:w="21884" w:type="dxa"/>
            <w:shd w:val="clear" w:color="auto" w:fill="2F5496"/>
            <w:vAlign w:val="center"/>
          </w:tcPr>
          <w:p w14:paraId="61D9CE0D" w14:textId="77777777" w:rsidR="00134B46" w:rsidRPr="000C511E" w:rsidRDefault="00A0168F" w:rsidP="00134B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511E">
              <w:rPr>
                <w:rFonts w:ascii="Arial" w:hAnsi="Arial" w:cs="Arial"/>
                <w:b/>
                <w:color w:val="FFFFFF"/>
                <w:sz w:val="20"/>
                <w:szCs w:val="20"/>
              </w:rPr>
              <w:t>Whole School Careers Intent 2026-2027</w:t>
            </w:r>
          </w:p>
          <w:p w14:paraId="7BC2B538" w14:textId="77777777" w:rsidR="00BD4AC1" w:rsidRPr="000C511E" w:rsidRDefault="003D76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b/>
                <w:color w:val="FFFFFF"/>
                <w:sz w:val="20"/>
                <w:szCs w:val="20"/>
              </w:rPr>
              <w:t>Careers Education, Information, Advice and Guidance (CEIAG)</w:t>
            </w:r>
          </w:p>
        </w:tc>
      </w:tr>
      <w:tr w:rsidR="00BA4D3C" w:rsidRPr="000C511E" w14:paraId="6B75ED8C" w14:textId="77777777" w:rsidTr="006A4964">
        <w:tc>
          <w:tcPr>
            <w:tcW w:w="21884" w:type="dxa"/>
            <w:shd w:val="clear" w:color="auto" w:fill="FFFFFF" w:themeFill="background1"/>
            <w:vAlign w:val="center"/>
          </w:tcPr>
          <w:p w14:paraId="005BA728" w14:textId="77777777" w:rsidR="00BD4AC1" w:rsidRPr="000C511E" w:rsidRDefault="003D768C">
            <w:pPr>
              <w:pStyle w:val="PolicyHeader"/>
              <w:numPr>
                <w:ilvl w:val="0"/>
                <w:numId w:val="0"/>
              </w:numPr>
              <w:rPr>
                <w:color w:val="auto"/>
                <w:sz w:val="20"/>
                <w:szCs w:val="20"/>
              </w:rPr>
            </w:pPr>
            <w:r w:rsidRPr="000C511E">
              <w:rPr>
                <w:sz w:val="20"/>
                <w:szCs w:val="20"/>
              </w:rPr>
              <w:t>Beliefs and values</w:t>
            </w:r>
          </w:p>
          <w:p w14:paraId="5728530A" w14:textId="77777777" w:rsidR="00BD4AC1" w:rsidRPr="000C511E" w:rsidRDefault="003D768C">
            <w:pPr>
              <w:pStyle w:val="PolicyContent"/>
              <w:numPr>
                <w:ilvl w:val="0"/>
                <w:numId w:val="6"/>
              </w:numPr>
              <w:tabs>
                <w:tab w:val="clear" w:pos="707"/>
              </w:tabs>
              <w:ind w:left="709" w:hanging="283"/>
              <w:rPr>
                <w:sz w:val="20"/>
                <w:szCs w:val="20"/>
              </w:rPr>
            </w:pPr>
            <w:r w:rsidRPr="000C511E">
              <w:rPr>
                <w:sz w:val="20"/>
                <w:szCs w:val="20"/>
              </w:rPr>
              <w:t xml:space="preserve">All pupils at Compass School </w:t>
            </w:r>
            <w:proofErr w:type="gramStart"/>
            <w:r w:rsidRPr="000C511E">
              <w:rPr>
                <w:sz w:val="20"/>
                <w:szCs w:val="20"/>
              </w:rPr>
              <w:t>are able to</w:t>
            </w:r>
            <w:proofErr w:type="gramEnd"/>
            <w:r w:rsidRPr="000C511E">
              <w:rPr>
                <w:sz w:val="20"/>
                <w:szCs w:val="20"/>
              </w:rPr>
              <w:t xml:space="preserve"> develop into confident learners, progress in their learning and fulfil their potential. We promote positive attitudes, confidence, independence and perseverance, raising self-esteem and resilience through recognition of success and achievement.</w:t>
            </w:r>
          </w:p>
          <w:p w14:paraId="35191860" w14:textId="77777777" w:rsidR="00BD4AC1" w:rsidRPr="000C511E" w:rsidRDefault="003D768C">
            <w:pPr>
              <w:pStyle w:val="PolicyHeader"/>
              <w:numPr>
                <w:ilvl w:val="0"/>
                <w:numId w:val="0"/>
              </w:numPr>
              <w:rPr>
                <w:color w:val="auto"/>
                <w:sz w:val="20"/>
                <w:szCs w:val="20"/>
              </w:rPr>
            </w:pPr>
            <w:r w:rsidRPr="000C511E">
              <w:rPr>
                <w:sz w:val="20"/>
                <w:szCs w:val="20"/>
              </w:rPr>
              <w:t>Aim</w:t>
            </w:r>
          </w:p>
          <w:p w14:paraId="1EC8D8D8" w14:textId="77777777" w:rsidR="00BD4AC1" w:rsidRPr="000C511E" w:rsidRDefault="003D768C">
            <w:pPr>
              <w:pStyle w:val="PolicyContent"/>
              <w:numPr>
                <w:ilvl w:val="0"/>
                <w:numId w:val="6"/>
              </w:numPr>
              <w:tabs>
                <w:tab w:val="clear" w:pos="707"/>
              </w:tabs>
              <w:ind w:left="709" w:hanging="283"/>
              <w:rPr>
                <w:sz w:val="20"/>
                <w:szCs w:val="20"/>
              </w:rPr>
            </w:pPr>
            <w:r w:rsidRPr="000C511E">
              <w:rPr>
                <w:sz w:val="20"/>
                <w:szCs w:val="20"/>
              </w:rPr>
              <w:t>From Key Stage 1 to key Stage 4, we develop pupils’ employability skills, knowledge, aspirations and understanding of the world of work, supporting successful transition to further education, training, apprenticeships or employment.</w:t>
            </w:r>
          </w:p>
          <w:p w14:paraId="477EEC3B" w14:textId="1BAC2F99" w:rsidR="00BD4AC1" w:rsidRPr="0055447A" w:rsidRDefault="003D768C" w:rsidP="0055447A">
            <w:pPr>
              <w:pStyle w:val="PolicyContent"/>
              <w:numPr>
                <w:ilvl w:val="0"/>
                <w:numId w:val="6"/>
              </w:numPr>
              <w:tabs>
                <w:tab w:val="clear" w:pos="707"/>
              </w:tabs>
              <w:ind w:left="709" w:hanging="283"/>
              <w:rPr>
                <w:sz w:val="20"/>
                <w:szCs w:val="20"/>
              </w:rPr>
            </w:pPr>
            <w:r w:rsidRPr="000C511E">
              <w:rPr>
                <w:sz w:val="20"/>
                <w:szCs w:val="20"/>
              </w:rPr>
              <w:t>The careers programme is aligned with the Gatsby Benchmarks and the Department for Education statutory guidance on Careers Guidance and access for education and training providers</w:t>
            </w:r>
          </w:p>
          <w:p w14:paraId="6B69F2D4" w14:textId="77777777" w:rsidR="000C511E" w:rsidRPr="000C511E" w:rsidRDefault="000C511E">
            <w:pPr>
              <w:pStyle w:val="PolicyHeader"/>
              <w:numPr>
                <w:ilvl w:val="0"/>
                <w:numId w:val="0"/>
              </w:numPr>
              <w:rPr>
                <w:sz w:val="20"/>
                <w:szCs w:val="20"/>
              </w:rPr>
            </w:pPr>
          </w:p>
          <w:p w14:paraId="6B396FBE" w14:textId="730A40EF" w:rsidR="00BD4AC1" w:rsidRPr="000C511E" w:rsidRDefault="003D768C">
            <w:pPr>
              <w:pStyle w:val="PolicyHeader"/>
              <w:numPr>
                <w:ilvl w:val="0"/>
                <w:numId w:val="0"/>
              </w:numPr>
              <w:rPr>
                <w:color w:val="auto"/>
                <w:sz w:val="20"/>
                <w:szCs w:val="20"/>
              </w:rPr>
            </w:pPr>
            <w:r w:rsidRPr="000C511E">
              <w:rPr>
                <w:sz w:val="20"/>
                <w:szCs w:val="20"/>
              </w:rPr>
              <w:t>Whole-school provision</w:t>
            </w:r>
          </w:p>
          <w:p w14:paraId="1580C3D6" w14:textId="77777777" w:rsidR="00BD4AC1" w:rsidRPr="0055447A" w:rsidRDefault="003D768C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55447A">
              <w:rPr>
                <w:rFonts w:ascii="Arial" w:hAnsi="Arial" w:cs="Arial"/>
                <w:sz w:val="20"/>
                <w:szCs w:val="20"/>
              </w:rPr>
              <w:t>Compass School meets the Provider Access Legislation (PAL), formerly known as the Baker Clause. Pupils in Years 8–11 receive the statutory provider encounters: two encounters in the first key phase (Year 8 or Year 9) and two in the second key phase (Year 10 or Year 11), with two different providers sought in each phase</w:t>
            </w:r>
            <w:r w:rsidRPr="0055447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7E5AD4E" w14:textId="77777777" w:rsidR="00BD4AC1" w:rsidRPr="000C511E" w:rsidRDefault="003D768C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Provider encounters are impartial and give pupils a genuine opportunity to learn about technical education qualifications, apprenticeships, progression routes and what learning or training with a provider is like.</w:t>
            </w:r>
          </w:p>
          <w:p w14:paraId="11364488" w14:textId="77777777" w:rsidR="00BD4AC1" w:rsidRPr="000C511E" w:rsidRDefault="003D768C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Every Teacher is a Teacher of Careers. Curriculum staff make explicit links between learning, employability skills and career pathways.</w:t>
            </w:r>
          </w:p>
          <w:p w14:paraId="69EFDBE9" w14:textId="49724BD6" w:rsidR="00BD4AC1" w:rsidRPr="000C511E" w:rsidRDefault="003D768C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Careers learning is mapped across the curriculum, including PSHE, SPICE, Work Skills and wider personal development</w:t>
            </w:r>
            <w:r w:rsidR="000C511E" w:rsidRPr="000C511E">
              <w:rPr>
                <w:rFonts w:ascii="Arial" w:hAnsi="Arial" w:cs="Arial"/>
                <w:sz w:val="20"/>
                <w:szCs w:val="20"/>
              </w:rPr>
              <w:t xml:space="preserve"> in all subjects </w:t>
            </w:r>
          </w:p>
          <w:p w14:paraId="31D476ED" w14:textId="77777777" w:rsidR="00BD4AC1" w:rsidRPr="000C511E" w:rsidRDefault="003D768C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Pupils have opportunities to meet employers and employees, visit workplaces, undertake workplace-related activities and experience meaningful work experience where appropriate.</w:t>
            </w:r>
          </w:p>
          <w:p w14:paraId="3EE3308C" w14:textId="77777777" w:rsidR="00BD4AC1" w:rsidRPr="000C511E" w:rsidRDefault="003D768C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Compass School works towards the Government's approach of two weeks’ worth of meaningful work experience across Key Stages 3 and 4: one week's worth of varied workplace experiences across Years 7–9 and one week's worth of meaningful placement(s) across Years 10–11.</w:t>
            </w:r>
          </w:p>
          <w:p w14:paraId="2CCA4B85" w14:textId="77777777" w:rsidR="00BD4AC1" w:rsidRPr="000C511E" w:rsidRDefault="003D768C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Pupils receive impartial personal careers guidance from a suitably qualified careers adviser, with at least one personal guidance meeting available by age 16 and further support according to individual need.</w:t>
            </w:r>
          </w:p>
          <w:p w14:paraId="67BFECEE" w14:textId="0F465EB6" w:rsidR="00BD4AC1" w:rsidRPr="000C511E" w:rsidRDefault="003D768C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 xml:space="preserve">Parents and carers are supported to access careers and progression information. The </w:t>
            </w:r>
            <w:proofErr w:type="gramStart"/>
            <w:r w:rsidR="000C511E" w:rsidRPr="000C511E">
              <w:rPr>
                <w:rFonts w:ascii="Arial" w:hAnsi="Arial" w:cs="Arial"/>
                <w:sz w:val="20"/>
                <w:szCs w:val="20"/>
              </w:rPr>
              <w:t>school works</w:t>
            </w:r>
            <w:proofErr w:type="gramEnd"/>
            <w:r w:rsidRPr="000C511E">
              <w:rPr>
                <w:rFonts w:ascii="Arial" w:hAnsi="Arial" w:cs="Arial"/>
                <w:sz w:val="20"/>
                <w:szCs w:val="20"/>
              </w:rPr>
              <w:t xml:space="preserve"> with commissioning schools, the local authority, Careers Hub, employers, careers advisers and post-16 providers to support transition.</w:t>
            </w:r>
          </w:p>
          <w:p w14:paraId="390E6482" w14:textId="77777777" w:rsidR="00BD4AC1" w:rsidRPr="000C511E" w:rsidRDefault="003D768C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The school uses careers and labour market information (LMI), pupil participation, feedback and destination information to evaluate and improve provision.</w:t>
            </w:r>
          </w:p>
          <w:p w14:paraId="48F14878" w14:textId="77777777" w:rsidR="000C511E" w:rsidRPr="000C511E" w:rsidRDefault="000C511E" w:rsidP="000C511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20F1" w:rsidRPr="000C511E" w14:paraId="4014CB5B" w14:textId="77777777" w:rsidTr="000D0B0A">
        <w:trPr>
          <w:trHeight w:val="269"/>
        </w:trPr>
        <w:tc>
          <w:tcPr>
            <w:tcW w:w="21884" w:type="dxa"/>
            <w:shd w:val="clear" w:color="auto" w:fill="2F5496"/>
            <w:vAlign w:val="center"/>
          </w:tcPr>
          <w:p w14:paraId="2626F86A" w14:textId="62AFB1A8" w:rsidR="007B20F1" w:rsidRPr="000C511E" w:rsidRDefault="007B20F1" w:rsidP="007B20F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511E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Key Stage </w:t>
            </w:r>
            <w:r w:rsidR="000C511E" w:rsidRPr="000C511E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 &amp; 2</w:t>
            </w:r>
          </w:p>
        </w:tc>
      </w:tr>
      <w:tr w:rsidR="007B20F1" w:rsidRPr="000C511E" w14:paraId="527DD40C" w14:textId="77777777" w:rsidTr="00C63B09">
        <w:tc>
          <w:tcPr>
            <w:tcW w:w="21884" w:type="dxa"/>
            <w:shd w:val="clear" w:color="auto" w:fill="FFFFFF" w:themeFill="background1"/>
            <w:vAlign w:val="center"/>
          </w:tcPr>
          <w:p w14:paraId="015A58E1" w14:textId="695CCC15" w:rsidR="00BD4AC1" w:rsidRPr="000C511E" w:rsidRDefault="003D768C">
            <w:p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b/>
                <w:sz w:val="20"/>
                <w:szCs w:val="20"/>
              </w:rPr>
              <w:t xml:space="preserve">Key Stage </w:t>
            </w:r>
            <w:r w:rsidR="000C511E" w:rsidRPr="000C511E">
              <w:rPr>
                <w:rFonts w:ascii="Arial" w:hAnsi="Arial" w:cs="Arial"/>
                <w:b/>
                <w:sz w:val="20"/>
                <w:szCs w:val="20"/>
              </w:rPr>
              <w:t>1 &amp; 2</w:t>
            </w:r>
            <w:r w:rsidRPr="000C511E">
              <w:rPr>
                <w:rFonts w:ascii="Arial" w:hAnsi="Arial" w:cs="Arial"/>
                <w:b/>
                <w:sz w:val="20"/>
                <w:szCs w:val="20"/>
              </w:rPr>
              <w:t xml:space="preserve"> — Exploring the world of work</w:t>
            </w:r>
          </w:p>
          <w:p w14:paraId="02105116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Build pupils’ understanding of their strengths, interests and developing skills and how these can relate to different occupations.</w:t>
            </w:r>
          </w:p>
          <w:p w14:paraId="470365F3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Explore a broad range of traditional and non-traditional careers and introduce different industries and job roles.</w:t>
            </w:r>
          </w:p>
          <w:p w14:paraId="686B0004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Develop transferable skills including communication, teamwork, problem solving, critical thinking, resilience and self-management.</w:t>
            </w:r>
          </w:p>
          <w:p w14:paraId="6BEC77C9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Introduce concepts of workplace behaviour, punctuality, reliability, professionalism and personal responsibility.</w:t>
            </w:r>
          </w:p>
          <w:p w14:paraId="69BC4E28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Develop age-appropriate financial literacy, including budgeting, saving, income and expenditure.</w:t>
            </w:r>
          </w:p>
          <w:p w14:paraId="780F4359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Introduce different education and training pathways, including further education, vocational learning and apprenticeships.</w:t>
            </w:r>
          </w:p>
          <w:p w14:paraId="7C979FF8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Provide opportunities for enterprise, creativity and problem solving and introduce the idea of business and self-employment.</w:t>
            </w:r>
          </w:p>
          <w:p w14:paraId="5FE0E9FF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Use age-appropriate encounters with employers and employees and workplace-related activities to broaden pupils’ understanding of the working world.</w:t>
            </w:r>
          </w:p>
        </w:tc>
      </w:tr>
      <w:tr w:rsidR="007B5D64" w:rsidRPr="000C511E" w14:paraId="71C1DF0D" w14:textId="77777777" w:rsidTr="000D0B0A">
        <w:trPr>
          <w:trHeight w:val="166"/>
        </w:trPr>
        <w:tc>
          <w:tcPr>
            <w:tcW w:w="21884" w:type="dxa"/>
            <w:shd w:val="clear" w:color="auto" w:fill="2F5496"/>
          </w:tcPr>
          <w:p w14:paraId="403CA63A" w14:textId="77777777" w:rsidR="007B5D64" w:rsidRPr="000C511E" w:rsidRDefault="00153778" w:rsidP="001537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511E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Key Stage 3</w:t>
            </w:r>
          </w:p>
        </w:tc>
      </w:tr>
      <w:tr w:rsidR="00153778" w:rsidRPr="000C511E" w14:paraId="0310E2C9" w14:textId="77777777" w:rsidTr="00F83FE0">
        <w:tc>
          <w:tcPr>
            <w:tcW w:w="21884" w:type="dxa"/>
            <w:shd w:val="clear" w:color="auto" w:fill="FFFFFF" w:themeFill="background1"/>
            <w:vAlign w:val="center"/>
          </w:tcPr>
          <w:p w14:paraId="7990CBD9" w14:textId="77777777" w:rsidR="00BD4AC1" w:rsidRPr="000C511E" w:rsidRDefault="003D768C">
            <w:p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b/>
                <w:sz w:val="20"/>
                <w:szCs w:val="20"/>
              </w:rPr>
              <w:t>Key Stage 3 — Developing knowledge, skills and choices</w:t>
            </w:r>
          </w:p>
          <w:p w14:paraId="42E930C7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Develop stronger self-awareness, including strengths, areas for development, interests, values and aspirations.</w:t>
            </w:r>
          </w:p>
          <w:p w14:paraId="07012055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Expand knowledge of diverse careers and provide opportunities to engage with employers and professionals from different industries.</w:t>
            </w:r>
          </w:p>
          <w:p w14:paraId="51420EC8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Introduce and use relevant labour market information to understand job prospects, skills requirements and changing opportunities.</w:t>
            </w:r>
          </w:p>
          <w:p w14:paraId="6E3DE772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Explore academic, technical and vocational pathways and the qualifications and entry requirements associated with different routes.</w:t>
            </w:r>
          </w:p>
          <w:p w14:paraId="57E4E39E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Develop workplace skills including communication, teamwork, problem solving, digital literacy, critical thinking, adaptability and resilience.</w:t>
            </w:r>
          </w:p>
          <w:p w14:paraId="02FD1120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Provide varied and meaningful workplace experiences across Years 7–9, predominantly in person and linked to different industries and occupations.</w:t>
            </w:r>
          </w:p>
          <w:p w14:paraId="41869B3E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Provide the statutory technical education and apprenticeship provider encounters in Year 8 or Year 9, in accordance with the Provider Access Policy Statement.</w:t>
            </w:r>
          </w:p>
          <w:p w14:paraId="63FE7037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Support pupils to understand post-16 options, including further education, apprenticeships, vocational training and sixth-form routes.</w:t>
            </w:r>
          </w:p>
          <w:p w14:paraId="3323E4E5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Provide personalised careers information, advice and guidance, with additional support and reasonable adjustments for pupils with SEND and other barriers to participation.</w:t>
            </w:r>
          </w:p>
        </w:tc>
      </w:tr>
      <w:tr w:rsidR="00FE7E39" w:rsidRPr="000C511E" w14:paraId="53BBC160" w14:textId="77777777" w:rsidTr="000D0B0A">
        <w:trPr>
          <w:trHeight w:val="38"/>
        </w:trPr>
        <w:tc>
          <w:tcPr>
            <w:tcW w:w="21884" w:type="dxa"/>
            <w:shd w:val="clear" w:color="auto" w:fill="2F5496"/>
          </w:tcPr>
          <w:p w14:paraId="39D8F856" w14:textId="77777777" w:rsidR="00FE7E39" w:rsidRPr="000C511E" w:rsidRDefault="007B20F1" w:rsidP="007B20F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511E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Key Stage 4</w:t>
            </w:r>
          </w:p>
        </w:tc>
      </w:tr>
      <w:tr w:rsidR="00734032" w:rsidRPr="000C511E" w14:paraId="265C3DE4" w14:textId="77777777" w:rsidTr="00BB6181">
        <w:tc>
          <w:tcPr>
            <w:tcW w:w="21884" w:type="dxa"/>
            <w:shd w:val="clear" w:color="auto" w:fill="FFFFFF" w:themeFill="background1"/>
            <w:vAlign w:val="center"/>
          </w:tcPr>
          <w:p w14:paraId="5D660A6A" w14:textId="77777777" w:rsidR="00BD4AC1" w:rsidRPr="000C511E" w:rsidRDefault="003D768C">
            <w:p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b/>
                <w:sz w:val="20"/>
                <w:szCs w:val="20"/>
              </w:rPr>
              <w:t>Key Stage 4 — Preparing for successful transition</w:t>
            </w:r>
          </w:p>
          <w:p w14:paraId="2EAA641E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Develop clear self-awareness, career aspirations and realistic short- and long-term goals.</w:t>
            </w:r>
          </w:p>
          <w:p w14:paraId="59CFA40B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Research a wide range of careers, occupations, emerging industries and employment opportunities using reliable careers and labour market information.</w:t>
            </w:r>
          </w:p>
          <w:p w14:paraId="0DD52F56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Understand post-16 education, training and employment options, including colleges, vocational programmes, apprenticeships and other training routes.</w:t>
            </w:r>
          </w:p>
          <w:p w14:paraId="4685BAF4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Understand progression routes, entry requirements, course content, duration and potential career outcomes.</w:t>
            </w:r>
          </w:p>
          <w:p w14:paraId="1361EBC6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Develop application skills including CVs, personal statements, application forms and online applications.</w:t>
            </w:r>
          </w:p>
          <w:p w14:paraId="2E9EC932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Develop interview and professional presentation skills, including communication, body language, preparation and responding to questions.</w:t>
            </w:r>
          </w:p>
          <w:p w14:paraId="1C995AD5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Develop financial literacy, including budgeting, income and expenditure and relevant financial considerations when planning post-16 education or training.</w:t>
            </w:r>
          </w:p>
          <w:p w14:paraId="423E64C9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Provide meaningful, in-person and immersive workplace experience(s) across Years 10–11 wherever reasonably practicable, with preparation, safeguarding, health and safety, employer feedback and structured pupil reflection.</w:t>
            </w:r>
          </w:p>
          <w:p w14:paraId="6EAD50D4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Provide at least one statutory technical education and apprenticeship provider encounter in Year 10 or Year 11, in accordance with the Provider Access Policy Statement.</w:t>
            </w:r>
          </w:p>
          <w:p w14:paraId="0A02BEBE" w14:textId="77777777" w:rsidR="00BD4AC1" w:rsidRPr="000C511E" w:rsidRDefault="003D768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Support pupils to develop an individual transition or action plan for their next step in education, training or employment.</w:t>
            </w:r>
          </w:p>
        </w:tc>
      </w:tr>
      <w:tr w:rsidR="00734032" w:rsidRPr="000C511E" w14:paraId="24AE0E3A" w14:textId="77777777" w:rsidTr="009E6115">
        <w:tc>
          <w:tcPr>
            <w:tcW w:w="21884" w:type="dxa"/>
            <w:shd w:val="clear" w:color="auto" w:fill="FFFFFF" w:themeFill="background1"/>
            <w:vAlign w:val="center"/>
          </w:tcPr>
          <w:p w14:paraId="2CCF92C2" w14:textId="77777777" w:rsidR="00BD4AC1" w:rsidRPr="000C511E" w:rsidRDefault="003D768C">
            <w:pPr>
              <w:pStyle w:val="PolicyHeader"/>
              <w:numPr>
                <w:ilvl w:val="0"/>
                <w:numId w:val="0"/>
              </w:numPr>
              <w:rPr>
                <w:color w:val="auto"/>
                <w:sz w:val="20"/>
                <w:szCs w:val="20"/>
              </w:rPr>
            </w:pPr>
            <w:r w:rsidRPr="000C511E">
              <w:rPr>
                <w:sz w:val="20"/>
                <w:szCs w:val="20"/>
              </w:rPr>
              <w:t>Tracking, evaluation and Gatsby Benchmarks</w:t>
            </w:r>
          </w:p>
          <w:p w14:paraId="323DD6EC" w14:textId="77777777" w:rsidR="00BD4AC1" w:rsidRPr="000C511E" w:rsidRDefault="003D768C">
            <w:pPr>
              <w:pStyle w:val="PolicyContent"/>
              <w:numPr>
                <w:ilvl w:val="0"/>
                <w:numId w:val="6"/>
              </w:numPr>
              <w:tabs>
                <w:tab w:val="clear" w:pos="707"/>
              </w:tabs>
              <w:ind w:left="709" w:hanging="283"/>
              <w:rPr>
                <w:sz w:val="20"/>
                <w:szCs w:val="20"/>
              </w:rPr>
            </w:pPr>
            <w:r w:rsidRPr="000C511E">
              <w:rPr>
                <w:sz w:val="20"/>
                <w:szCs w:val="20"/>
              </w:rPr>
              <w:t>Careers Education and independent advice and guidance are tracked across the school and evaluated against the eight Gatsby Benchmarks: a stable careers programme; career and labour market information; addressing individual needs; linking curriculum learning to careers; encounters with employers and employees; experiences of workplaces; encounters with further and higher education; and personal guidance.</w:t>
            </w:r>
          </w:p>
          <w:p w14:paraId="096AE94A" w14:textId="77777777" w:rsidR="00BD4AC1" w:rsidRPr="000C511E" w:rsidRDefault="003D768C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0C511E">
              <w:rPr>
                <w:rFonts w:ascii="Arial" w:hAnsi="Arial" w:cs="Arial"/>
                <w:sz w:val="20"/>
                <w:szCs w:val="20"/>
              </w:rPr>
              <w:t>Impact is evaluated through participation data, pupil and parent/carer feedback, employer/provider feedback, personal guidance records, destinations and intended destinations, and progress against the Gatsby Benchmarks.</w:t>
            </w:r>
          </w:p>
          <w:p w14:paraId="65846F48" w14:textId="77777777" w:rsidR="00BD4AC1" w:rsidRPr="000C511E" w:rsidRDefault="003D768C">
            <w:pPr>
              <w:pStyle w:val="PolicyContent"/>
              <w:numPr>
                <w:ilvl w:val="0"/>
                <w:numId w:val="6"/>
              </w:numPr>
              <w:tabs>
                <w:tab w:val="clear" w:pos="707"/>
              </w:tabs>
              <w:ind w:left="709" w:hanging="283"/>
              <w:rPr>
                <w:sz w:val="20"/>
                <w:szCs w:val="20"/>
              </w:rPr>
            </w:pPr>
            <w:r w:rsidRPr="000C511E">
              <w:rPr>
                <w:sz w:val="20"/>
                <w:szCs w:val="20"/>
              </w:rPr>
              <w:t>This statement should be read alongside the Compass School Careers Policy and Provider Access Policy Statement and will be reviewed annually in line with statutory guidance.</w:t>
            </w:r>
          </w:p>
        </w:tc>
      </w:tr>
    </w:tbl>
    <w:p w14:paraId="44647E38" w14:textId="77777777" w:rsidR="00E51A33" w:rsidRDefault="00E51A33" w:rsidP="00DC7BCF"/>
    <w:sectPr w:rsidR="00E51A33" w:rsidSect="00DC7BCF">
      <w:pgSz w:w="23811" w:h="16838" w:orient="landscape" w:code="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A1A1F"/>
    <w:multiLevelType w:val="hybridMultilevel"/>
    <w:tmpl w:val="425E7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564B76"/>
    <w:multiLevelType w:val="hybridMultilevel"/>
    <w:tmpl w:val="8A683DD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CA07455"/>
    <w:multiLevelType w:val="hybridMultilevel"/>
    <w:tmpl w:val="0C56B94E"/>
    <w:lvl w:ilvl="0" w:tplc="0C38419A">
      <w:start w:val="1"/>
      <w:numFmt w:val="decimal"/>
      <w:pStyle w:val="PolicyHeader"/>
      <w:lvlText w:val="%1"/>
      <w:lvlJc w:val="left"/>
      <w:pPr>
        <w:ind w:left="1065" w:hanging="705"/>
      </w:pPr>
      <w:rPr>
        <w:rFonts w:hint="default"/>
        <w:color w:val="1F497D"/>
      </w:rPr>
    </w:lvl>
    <w:lvl w:ilvl="1" w:tplc="B0F0963C">
      <w:start w:val="1"/>
      <w:numFmt w:val="lowerRoman"/>
      <w:lvlText w:val="%2."/>
      <w:lvlJc w:val="right"/>
      <w:pPr>
        <w:ind w:left="1440" w:hanging="360"/>
      </w:pPr>
      <w:rPr>
        <w:rFonts w:hint="default"/>
        <w:color w:val="00000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89D6423E">
      <w:start w:val="1"/>
      <w:numFmt w:val="decimal"/>
      <w:lvlText w:val="%4."/>
      <w:lvlJc w:val="left"/>
      <w:pPr>
        <w:ind w:left="3240" w:hanging="72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672B1"/>
    <w:multiLevelType w:val="multilevel"/>
    <w:tmpl w:val="64184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CD182E"/>
    <w:multiLevelType w:val="hybridMultilevel"/>
    <w:tmpl w:val="93B27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D18F6"/>
    <w:multiLevelType w:val="hybridMultilevel"/>
    <w:tmpl w:val="0F8AA788"/>
    <w:lvl w:ilvl="0" w:tplc="7A904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2114C6"/>
    <w:multiLevelType w:val="hybridMultilevel"/>
    <w:tmpl w:val="5F48A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4513F4"/>
    <w:multiLevelType w:val="hybridMultilevel"/>
    <w:tmpl w:val="72081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68973945">
    <w:abstractNumId w:val="0"/>
  </w:num>
  <w:num w:numId="2" w16cid:durableId="684594029">
    <w:abstractNumId w:val="6"/>
  </w:num>
  <w:num w:numId="3" w16cid:durableId="628826616">
    <w:abstractNumId w:val="4"/>
  </w:num>
  <w:num w:numId="4" w16cid:durableId="1766343653">
    <w:abstractNumId w:val="2"/>
  </w:num>
  <w:num w:numId="5" w16cid:durableId="115487950">
    <w:abstractNumId w:val="7"/>
  </w:num>
  <w:num w:numId="6" w16cid:durableId="309402790">
    <w:abstractNumId w:val="1"/>
  </w:num>
  <w:num w:numId="7" w16cid:durableId="424887096">
    <w:abstractNumId w:val="5"/>
  </w:num>
  <w:num w:numId="8" w16cid:durableId="1497169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49D"/>
    <w:rsid w:val="000C511E"/>
    <w:rsid w:val="000D0B0A"/>
    <w:rsid w:val="00112026"/>
    <w:rsid w:val="001237BA"/>
    <w:rsid w:val="0013342B"/>
    <w:rsid w:val="00134B46"/>
    <w:rsid w:val="00153778"/>
    <w:rsid w:val="00245839"/>
    <w:rsid w:val="00322EBE"/>
    <w:rsid w:val="003F59B2"/>
    <w:rsid w:val="004D4E40"/>
    <w:rsid w:val="004D72B0"/>
    <w:rsid w:val="0055447A"/>
    <w:rsid w:val="0057149D"/>
    <w:rsid w:val="00670D09"/>
    <w:rsid w:val="00734032"/>
    <w:rsid w:val="00753C6C"/>
    <w:rsid w:val="007A2FF5"/>
    <w:rsid w:val="007B20F1"/>
    <w:rsid w:val="007B5D64"/>
    <w:rsid w:val="00841B01"/>
    <w:rsid w:val="00861DFB"/>
    <w:rsid w:val="009E083E"/>
    <w:rsid w:val="009E6115"/>
    <w:rsid w:val="00A0168F"/>
    <w:rsid w:val="00AA3506"/>
    <w:rsid w:val="00B22474"/>
    <w:rsid w:val="00B361AD"/>
    <w:rsid w:val="00B65BD6"/>
    <w:rsid w:val="00BA45F6"/>
    <w:rsid w:val="00BA4D3C"/>
    <w:rsid w:val="00BB6181"/>
    <w:rsid w:val="00BD4AC1"/>
    <w:rsid w:val="00C40DC9"/>
    <w:rsid w:val="00C63B09"/>
    <w:rsid w:val="00CD7A83"/>
    <w:rsid w:val="00CF34CD"/>
    <w:rsid w:val="00D62E16"/>
    <w:rsid w:val="00D66281"/>
    <w:rsid w:val="00D76B04"/>
    <w:rsid w:val="00DB694A"/>
    <w:rsid w:val="00DC7BCF"/>
    <w:rsid w:val="00E51A33"/>
    <w:rsid w:val="00EF3E16"/>
    <w:rsid w:val="00F01293"/>
    <w:rsid w:val="00F51D40"/>
    <w:rsid w:val="00F83FE0"/>
    <w:rsid w:val="00FB07A6"/>
    <w:rsid w:val="00FC4BD6"/>
    <w:rsid w:val="00FD3DF4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FF161"/>
  <w15:chartTrackingRefBased/>
  <w15:docId w15:val="{2E8E1F07-294F-4ED4-81C6-A803AACF9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1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99"/>
    <w:qFormat/>
    <w:rsid w:val="00FE7E39"/>
    <w:pPr>
      <w:ind w:left="720"/>
      <w:contextualSpacing/>
    </w:pPr>
  </w:style>
  <w:style w:type="paragraph" w:customStyle="1" w:styleId="PolicyHeader">
    <w:name w:val="Policy Header"/>
    <w:basedOn w:val="ListParagraph"/>
    <w:link w:val="PolicyHeaderChar"/>
    <w:qFormat/>
    <w:rsid w:val="00BA4D3C"/>
    <w:pPr>
      <w:widowControl w:val="0"/>
      <w:numPr>
        <w:numId w:val="4"/>
      </w:numPr>
      <w:tabs>
        <w:tab w:val="left" w:pos="707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color w:val="000000" w:themeColor="text1"/>
    </w:rPr>
  </w:style>
  <w:style w:type="paragraph" w:customStyle="1" w:styleId="PolicyContent">
    <w:name w:val="Policy Content"/>
    <w:basedOn w:val="ListParagraph"/>
    <w:link w:val="PolicyContentChar"/>
    <w:qFormat/>
    <w:rsid w:val="00BA4D3C"/>
    <w:pPr>
      <w:widowControl w:val="0"/>
      <w:tabs>
        <w:tab w:val="left" w:pos="707"/>
      </w:tabs>
      <w:autoSpaceDE w:val="0"/>
      <w:autoSpaceDN w:val="0"/>
      <w:adjustRightInd w:val="0"/>
      <w:spacing w:after="0" w:line="240" w:lineRule="auto"/>
      <w:ind w:left="0"/>
    </w:pPr>
    <w:rPr>
      <w:rFonts w:ascii="Arial" w:eastAsia="Times New Roman" w:hAnsi="Arial" w:cs="Arial"/>
      <w:bCs/>
      <w:color w:val="000000" w:themeColor="text1"/>
    </w:rPr>
  </w:style>
  <w:style w:type="character" w:customStyle="1" w:styleId="ListParagraphChar">
    <w:name w:val="List Paragraph Char"/>
    <w:basedOn w:val="DefaultParagraphFont"/>
    <w:link w:val="ListParagraph"/>
    <w:uiPriority w:val="99"/>
    <w:rsid w:val="00BA4D3C"/>
  </w:style>
  <w:style w:type="character" w:customStyle="1" w:styleId="PolicyHeaderChar">
    <w:name w:val="Policy Header Char"/>
    <w:basedOn w:val="ListParagraphChar"/>
    <w:link w:val="PolicyHeader"/>
    <w:rsid w:val="00BA4D3C"/>
    <w:rPr>
      <w:rFonts w:ascii="Arial" w:eastAsia="Times New Roman" w:hAnsi="Arial" w:cs="Arial"/>
      <w:b/>
      <w:bCs/>
      <w:color w:val="000000" w:themeColor="text1"/>
    </w:rPr>
  </w:style>
  <w:style w:type="character" w:customStyle="1" w:styleId="PolicyContentChar">
    <w:name w:val="Policy Content Char"/>
    <w:basedOn w:val="ListParagraphChar"/>
    <w:link w:val="PolicyContent"/>
    <w:rsid w:val="00BA4D3C"/>
    <w:rPr>
      <w:rFonts w:ascii="Arial" w:eastAsia="Times New Roman" w:hAnsi="Arial" w:cs="Arial"/>
      <w:bCs/>
      <w:color w:val="000000" w:themeColor="text1"/>
    </w:rPr>
  </w:style>
  <w:style w:type="paragraph" w:styleId="NoSpacing">
    <w:name w:val="No Spacing"/>
    <w:uiPriority w:val="1"/>
    <w:qFormat/>
    <w:rsid w:val="00BA4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FB07A6"/>
    <w:rPr>
      <w:color w:val="0563C1"/>
      <w:u w:val="single"/>
    </w:rPr>
  </w:style>
  <w:style w:type="character" w:styleId="Strong">
    <w:name w:val="Strong"/>
    <w:basedOn w:val="DefaultParagraphFont"/>
    <w:uiPriority w:val="22"/>
    <w:qFormat/>
    <w:rsid w:val="001334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58B766F2B67F4FB3B4DAEC8C2BAE14" ma:contentTypeVersion="12" ma:contentTypeDescription="Create a new document." ma:contentTypeScope="" ma:versionID="53a91c5fb114cf7edb498decd7aff8e3">
  <xsd:schema xmlns:xsd="http://www.w3.org/2001/XMLSchema" xmlns:xs="http://www.w3.org/2001/XMLSchema" xmlns:p="http://schemas.microsoft.com/office/2006/metadata/properties" xmlns:ns2="4d4bd52f-641d-4049-998a-bb96f6272048" xmlns:ns3="91e44e7d-a0e6-497e-bd17-fd9ff199aa7e" targetNamespace="http://schemas.microsoft.com/office/2006/metadata/properties" ma:root="true" ma:fieldsID="c80921960272de0102046ed0df5edcc5" ns2:_="" ns3:_="">
    <xsd:import namespace="4d4bd52f-641d-4049-998a-bb96f6272048"/>
    <xsd:import namespace="91e44e7d-a0e6-497e-bd17-fd9ff199aa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4bd52f-641d-4049-998a-bb96f6272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078e242-a945-4c1c-8674-d06021ac6e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e44e7d-a0e6-497e-bd17-fd9ff199aa7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1f3bbd9-f79d-40a9-8e39-592dac042dbc}" ma:internalName="TaxCatchAll" ma:showField="CatchAllData" ma:web="91e44e7d-a0e6-497e-bd17-fd9ff199aa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e44e7d-a0e6-497e-bd17-fd9ff199aa7e"/>
    <lcf76f155ced4ddcb4097134ff3c332f xmlns="4d4bd52f-641d-4049-998a-bb96f627204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18B3A8C-2D1C-4B6B-B615-8F527A1A61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4bd52f-641d-4049-998a-bb96f6272048"/>
    <ds:schemaRef ds:uri="91e44e7d-a0e6-497e-bd17-fd9ff199aa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D1940A-BB2D-4302-A9F7-68D70892E0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A3803B-79DE-43E3-93B5-B15DB7AA289C}">
  <ds:schemaRefs>
    <ds:schemaRef ds:uri="http://schemas.microsoft.com/office/2006/metadata/properties"/>
    <ds:schemaRef ds:uri="http://schemas.microsoft.com/office/infopath/2007/PartnerControls"/>
    <ds:schemaRef ds:uri="91e44e7d-a0e6-497e-bd17-fd9ff199aa7e"/>
    <ds:schemaRef ds:uri="4d4bd52f-641d-4049-998a-bb96f62720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1102</Words>
  <Characters>6285</Characters>
  <Application>Microsoft Office Word</Application>
  <DocSecurity>4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Hughes</dc:creator>
  <cp:keywords/>
  <dc:description/>
  <cp:lastModifiedBy>Luisa Whittick</cp:lastModifiedBy>
  <cp:revision>2</cp:revision>
  <cp:lastPrinted>2024-04-25T10:30:00Z</cp:lastPrinted>
  <dcterms:created xsi:type="dcterms:W3CDTF">2026-09-14T12:13:00Z</dcterms:created>
  <dcterms:modified xsi:type="dcterms:W3CDTF">2026-09-14T12:13:00Z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0x0101009958B766F2B67F4FB3B4DAEC8C2BAE14</vt:lpwstr>
  </property>
</Properties>
</file>